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9C97D" w14:textId="77777777" w:rsidR="00A45BD7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关于太平洋证券《波动率因子改进之二》的复现与批判性分析报告</w:t>
      </w:r>
    </w:p>
    <w:p w14:paraId="4E23869E" w14:textId="77777777" w:rsidR="00A45BD7" w:rsidRDefault="00000000">
      <w:pPr>
        <w:jc w:val="right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梁宇轩 23049009</w:t>
      </w:r>
    </w:p>
    <w:p w14:paraId="43F03CCE" w14:textId="77777777" w:rsidR="00A45BD7" w:rsidRDefault="00A45BD7">
      <w:pPr>
        <w:jc w:val="right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</w:p>
    <w:p w14:paraId="725989C4" w14:textId="77777777" w:rsidR="00A45BD7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引言：研报核心观点概述</w:t>
      </w:r>
    </w:p>
    <w:p w14:paraId="700729B9" w14:textId="7CCDF3D6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太平洋证券发布的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报《波动率因子改进之二：指数加权移动平均波动率》提出，采用指数加权移动平均（EWMA）方法构建的波动率因子（EWMAVOL），能有效捕捉A股市场的“低波动率异象”。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报的关键发现颇具吸引力：</w:t>
      </w:r>
    </w:p>
    <w:p w14:paraId="5DD8926B" w14:textId="77777777" w:rsidR="00A45B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高额回报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：在全市场样本中，做多波动率最低的股票组合（Group 1），可实现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23.33%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的年化收益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，相对基准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的年化超额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收益率高达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15.66%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58760895" w14:textId="69C0F185" w:rsidR="00A45B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显著的因子有效性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：EWMAVOL因子的</w:t>
      </w:r>
      <w:r w:rsidR="00A1666E">
        <w:rPr>
          <w:rFonts w:ascii="Google Sans Text" w:eastAsia="Google Sans Text" w:hAnsi="Google Sans Text" w:cs="Google Sans Text"/>
          <w:color w:val="1B1C1D"/>
          <w:sz w:val="24"/>
          <w:szCs w:val="24"/>
        </w:rPr>
        <w:t>等级信息系数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（</w:t>
      </w:r>
      <w:r w:rsidR="00A1666E">
        <w:rPr>
          <w:rFonts w:ascii="Google Sans Text" w:eastAsia="Google Sans Text" w:hAnsi="Google Sans Text" w:cs="Google Sans Text"/>
          <w:color w:val="1B1C1D"/>
          <w:sz w:val="24"/>
          <w:szCs w:val="24"/>
        </w:rPr>
        <w:t>Rank IC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）均值为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11.02%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，Rank IC的信息比率（IR）为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4.05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，表明该因子具备强大且稳定的选股能力。</w:t>
      </w:r>
    </w:p>
    <w:p w14:paraId="433423AE" w14:textId="1587C9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0B57D0"/>
          <w:sz w:val="24"/>
          <w:szCs w:val="24"/>
          <w:u w:val="single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</w:t>
      </w:r>
      <w:r w:rsidR="00A1666E">
        <w:rPr>
          <w:rFonts w:ascii="宋体" w:hAnsi="宋体" w:cs="宋体" w:hint="eastAsia"/>
          <w:color w:val="1B1C1D"/>
          <w:sz w:val="24"/>
          <w:szCs w:val="24"/>
        </w:rPr>
        <w:t>报告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旨在对上述结论进行独立的实证复现与批判性分析。全部复现代码及数据已开源，详见GitHub项目：</w:t>
      </w:r>
      <w:r>
        <w:fldChar w:fldCharType="begin"/>
      </w:r>
      <w:r>
        <w:instrText>HYPERLINK "https://github.com/AaronL725/Report-Replication" \h</w:instrText>
      </w:r>
      <w:r>
        <w:fldChar w:fldCharType="separate"/>
      </w:r>
      <w:r>
        <w:rPr>
          <w:rFonts w:ascii="Google Sans Text" w:eastAsia="Google Sans Text" w:hAnsi="Google Sans Text" w:cs="Google Sans Text"/>
          <w:color w:val="0B57D0"/>
          <w:sz w:val="24"/>
          <w:szCs w:val="24"/>
          <w:u w:val="single"/>
        </w:rPr>
        <w:t>https://github.com/AaronL725/Report-Replication</w:t>
      </w:r>
      <w:r>
        <w:rPr>
          <w:rFonts w:ascii="Google Sans Text" w:eastAsia="Google Sans Text" w:hAnsi="Google Sans Text" w:cs="Google Sans Text"/>
          <w:color w:val="0B57D0"/>
          <w:sz w:val="24"/>
          <w:szCs w:val="24"/>
          <w:u w:val="single"/>
        </w:rPr>
        <w:fldChar w:fldCharType="end"/>
      </w:r>
    </w:p>
    <w:p w14:paraId="4249A519" w14:textId="77777777" w:rsidR="00A45BD7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实证研究：复现策略与结果差异分析</w:t>
      </w:r>
    </w:p>
    <w:p w14:paraId="1E4F9696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为验证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报结论，本研究严格遵循其方法论，利用标准化的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量化回测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框架进行策略复现。然而，实证结果与原研报的主张存在显著差异，甚至在核心结论上表现出矛盾。</w:t>
      </w:r>
    </w:p>
    <w:p w14:paraId="6E50BE8C" w14:textId="77777777" w:rsidR="00A45BD7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 分层回测净值曲线：异象的缺位</w:t>
      </w:r>
    </w:p>
    <w:p w14:paraId="2AAAFAB2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分层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回测是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检验因子单调性与有效性的核心手段。本研究将全A股按EWMAVOL因子值分组回测，结果如下图所示。</w:t>
      </w:r>
    </w:p>
    <w:p w14:paraId="1375C979" w14:textId="1EF2ADDA" w:rsidR="00A45BD7" w:rsidRDefault="00A1666E" w:rsidP="00A166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7AAD3F82" wp14:editId="00D1288A">
            <wp:extent cx="4777927" cy="26365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84" cy="266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671E" w14:textId="1E34968C" w:rsidR="00772738" w:rsidRPr="00772738" w:rsidRDefault="00772738" w:rsidP="0077273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Theme="minorEastAsia" w:hAnsi="Google Sans Text" w:cs="Google Sans Text" w:hint="eastAsia"/>
        </w:rPr>
      </w:pPr>
      <w:r>
        <w:rPr>
          <w:rFonts w:ascii="宋体" w:hAnsi="宋体" w:cs="宋体" w:hint="eastAsia"/>
        </w:rPr>
        <w:t>图一：</w:t>
      </w:r>
      <w:r>
        <w:rPr>
          <w:rFonts w:ascii="Google Sans Text" w:eastAsia="Google Sans Text" w:hAnsi="Google Sans Text" w:cs="Google Sans Text"/>
        </w:rPr>
        <w:t>EWMAVOL 因子分组净值</w:t>
      </w:r>
    </w:p>
    <w:p w14:paraId="40947A8B" w14:textId="197B431E" w:rsidR="00A45BD7" w:rsidRPr="00A1666E" w:rsidRDefault="00A1666E" w:rsidP="00A166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noProof/>
        </w:rPr>
        <w:lastRenderedPageBreak/>
        <w:drawing>
          <wp:inline distT="0" distB="0" distL="0" distR="0" wp14:anchorId="3EF64411" wp14:editId="246D14D6">
            <wp:extent cx="5089071" cy="28082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71" cy="280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7BE6" w14:textId="2032BCC0" w:rsidR="00A45BD7" w:rsidRDefault="00772738" w:rsidP="0077273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Theme="minorEastAsia" w:hAnsi="Google Sans Text" w:cs="Google Sans Text"/>
        </w:rPr>
      </w:pPr>
      <w:r>
        <w:rPr>
          <w:rFonts w:ascii="宋体" w:hAnsi="宋体" w:cs="宋体" w:hint="eastAsia"/>
        </w:rPr>
        <w:t>图二</w:t>
      </w:r>
      <w:r>
        <w:rPr>
          <w:rFonts w:ascii="Google Sans Text" w:eastAsia="Google Sans Text" w:hAnsi="Google Sans Text" w:cs="Google Sans Text"/>
        </w:rPr>
        <w:t>：传统 VOL_3M 因子分组净值</w:t>
      </w:r>
    </w:p>
    <w:p w14:paraId="002847BC" w14:textId="77777777" w:rsidR="00772738" w:rsidRPr="00772738" w:rsidRDefault="00772738" w:rsidP="0077273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Theme="minorEastAsia" w:hAnsi="Google Sans Text" w:cs="Google Sans Text" w:hint="eastAsia"/>
        </w:rPr>
      </w:pPr>
    </w:p>
    <w:p w14:paraId="4E81F84D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实证分析：</w:t>
      </w:r>
    </w:p>
    <w:p w14:paraId="6B1F8254" w14:textId="77777777" w:rsidR="00A45BD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低波动率异象未能复现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：如图1所示，波动率最低的“第一组”（G1，浅色细线）的净值曲线并未展现出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报所描述的优异表现，其长期收益平庸，未能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稳定跑赢其他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组别。这表明，在本次复现的设定下，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报所宣称的“低波动率异象”并未得到验证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32D7C0FC" w14:textId="77777777" w:rsidR="00A45BD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分层效果不理想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：理论上，有效的因子应呈现清晰的单调性。然而图1中的各组净值曲线相互缠绕，缺乏序贯性，这说明EWMAVOL因子在本研究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的回测区间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内，未能有效地区分股票的未来收益。</w:t>
      </w:r>
    </w:p>
    <w:p w14:paraId="1A134FC0" w14:textId="77777777" w:rsidR="00A45BD7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 核心绩效指标：预期与现实的背离</w:t>
      </w:r>
    </w:p>
    <w:p w14:paraId="71E7482C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对因子绩效的量化评估进一步揭示了复现结果与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报结论的巨大差距。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45BD7" w14:paraId="5E924B0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C8AE81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关键绩效指标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DB61B5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研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报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宣称值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40243D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本研究复现结果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BAF693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差异分析</w:t>
            </w:r>
          </w:p>
        </w:tc>
      </w:tr>
      <w:tr w:rsidR="00A45BD7" w14:paraId="720D11B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544AE5" w14:textId="1EBEE276" w:rsidR="00A45BD7" w:rsidRPr="00A1666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Theme="minorEastAsia" w:hAnsi="Google Sans Text" w:cs="Google Sans Text" w:hint="eastAsia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多头年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化收益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C9EB64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23.33%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5817A4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-30.8%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8FF740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方向性反转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。实证结果表明，做多低波动率组合在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回测期内导致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显著亏损。</w:t>
            </w:r>
          </w:p>
        </w:tc>
      </w:tr>
      <w:tr w:rsidR="00A45BD7" w14:paraId="56D3B58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6D6D8C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Rank IC 均值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108C91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11.02%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ED887E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1.12%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9A203D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有效性大幅衰减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。复现的Rank IC值降低了近90%，其选股指导能力非常微弱。</w:t>
            </w:r>
          </w:p>
        </w:tc>
      </w:tr>
      <w:tr w:rsidR="00A45BD7" w14:paraId="5F5C22F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E7CF24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Rank IC IR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025C69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4.05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A01B2A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0.09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3EC6C5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稳定性丧失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。接近于零的IR值表明，因子微弱的有效性极不稳定。</w:t>
            </w:r>
          </w:p>
        </w:tc>
      </w:tr>
      <w:tr w:rsidR="00A45BD7" w14:paraId="4F867B2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B769A6" w14:textId="6009652E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多空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年化收益</w:t>
            </w:r>
            <w:proofErr w:type="gram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5CFD6A" w14:textId="50E2EBBF" w:rsidR="00A45BD7" w:rsidRPr="00A1666E" w:rsidRDefault="00A16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Theme="minorEastAsia" w:hAnsi="Google Sans Text" w:cs="Google Sans Text" w:hint="eastAsia"/>
                <w:color w:val="1B1C1D"/>
                <w:sz w:val="20"/>
                <w:szCs w:val="20"/>
              </w:rPr>
            </w:pPr>
            <w:r w:rsidRPr="00A1666E">
              <w:rPr>
                <w:rFonts w:ascii="Google Sans Text" w:eastAsia="Google Sans Text" w:hAnsi="Google Sans Text" w:cs="Google Sans Text" w:hint="eastAsia"/>
                <w:b/>
                <w:color w:val="1B1C1D"/>
                <w:sz w:val="20"/>
                <w:szCs w:val="20"/>
              </w:rPr>
              <w:t>29.8%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72ABF1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-28.0%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3B0DA0" w14:textId="63ED2B8E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多空组合</w:t>
            </w:r>
            <w:r w:rsidR="00A1666E">
              <w:rPr>
                <w:rFonts w:ascii="宋体" w:hAnsi="宋体" w:cs="宋体" w:hint="eastAsia"/>
                <w:color w:val="1B1C1D"/>
                <w:sz w:val="20"/>
                <w:szCs w:val="20"/>
              </w:rPr>
              <w:t>差异巨大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，再次印证了因子在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回测期</w:t>
            </w:r>
            <w:proofErr w:type="gramEnd"/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内的失效。</w:t>
            </w:r>
          </w:p>
        </w:tc>
      </w:tr>
    </w:tbl>
    <w:p w14:paraId="752E902E" w14:textId="0B310872" w:rsidR="00A45BD7" w:rsidRPr="00A1666E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Theme="minorEastAsia" w:hAnsi="Google Sans Text" w:cs="Google Sans Text" w:hint="eastAsia"/>
          <w:i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上表复现数据来源：下图</w:t>
      </w:r>
    </w:p>
    <w:p w14:paraId="48BF6B66" w14:textId="0B996FFF" w:rsidR="00A45BD7" w:rsidRPr="00A1666E" w:rsidRDefault="00A1666E" w:rsidP="00A166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Theme="minorEastAsia" w:hAnsi="Google Sans Text" w:cs="Google Sans Text" w:hint="eastAsia"/>
        </w:rPr>
      </w:pP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5D9A0F62" wp14:editId="7B027733">
            <wp:extent cx="5943600" cy="16656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5F65E330" wp14:editId="1136B676">
            <wp:extent cx="5943600" cy="16656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0FD4" w14:textId="77777777" w:rsidR="00A45BD7" w:rsidRDefault="00A45BD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68D427CE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结论是明确的：EWMAVOL因子在本研究的框架下，不仅未能创造超额收益，反而呈现为一个效果不佳的指标。</w:t>
      </w:r>
    </w:p>
    <w:p w14:paraId="2E080A57" w14:textId="77777777" w:rsidR="00A45BD7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 参数敏感性与市场环境分析</w:t>
      </w:r>
    </w:p>
    <w:p w14:paraId="521D784A" w14:textId="49186AAE" w:rsidR="00A45BD7" w:rsidRPr="00772738" w:rsidRDefault="00000000" w:rsidP="0077273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Theme="minorEastAsia" w:hAnsi="Google Sans Text" w:cs="Google Sans Text" w:hint="eastAsia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为探究因子失效的潜在原因，本研究进一步进行了参数敏感性与市场环境适应性的测试。</w:t>
      </w:r>
    </w:p>
    <w:p w14:paraId="4F9C7E9B" w14:textId="284EB235" w:rsidR="00A45BD7" w:rsidRPr="00772738" w:rsidRDefault="00A166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Theme="minorEastAsia" w:hAnsi="Google Sans Text" w:cs="Google Sans Text" w:hint="eastAsia"/>
        </w:rPr>
      </w:pPr>
      <w:r>
        <w:rPr>
          <w:rFonts w:ascii="Google Sans Text" w:eastAsia="Google Sans Text" w:hAnsi="Google Sans Text" w:cs="Google Sans Text"/>
          <w:noProof/>
        </w:rPr>
        <w:lastRenderedPageBreak/>
        <w:drawing>
          <wp:inline distT="0" distB="0" distL="0" distR="0" wp14:anchorId="004FB86B" wp14:editId="0A37E8ED">
            <wp:extent cx="5932805" cy="35598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5294" w14:textId="08417E3B" w:rsidR="00772738" w:rsidRPr="00772738" w:rsidRDefault="00000000" w:rsidP="0077273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Theme="minorEastAsia" w:hAnsi="Google Sans Text" w:cs="Google Sans Text" w:hint="eastAsia"/>
        </w:rPr>
      </w:pPr>
      <w:r>
        <w:rPr>
          <w:rFonts w:ascii="Google Sans Text" w:eastAsia="Google Sans Text" w:hAnsi="Google Sans Text" w:cs="Google Sans Text"/>
        </w:rPr>
        <w:t>图3：不同衰减因子λ的因子表现</w:t>
      </w:r>
      <w:r w:rsidR="00772738">
        <w:rPr>
          <w:rFonts w:ascii="Google Sans Text" w:eastAsiaTheme="minorEastAsia" w:hAnsi="Google Sans Text" w:cs="Google Sans Text"/>
          <w:noProof/>
        </w:rPr>
        <w:drawing>
          <wp:inline distT="0" distB="0" distL="0" distR="0" wp14:anchorId="6296469D" wp14:editId="557FD722">
            <wp:extent cx="5932805" cy="355981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C9EB" w14:textId="51140646" w:rsidR="00A45BD7" w:rsidRDefault="00000000" w:rsidP="0077273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图4：不同历史窗口长度L的因子表现</w:t>
      </w:r>
    </w:p>
    <w:p w14:paraId="3E7F1BE8" w14:textId="77777777" w:rsidR="00A45BD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参数并非决定性因素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：从图3和图4的测试结果来看，调整历史窗口长度L或衰减因子λ，均未能从根本上扭转因子的负面表现。</w:t>
      </w:r>
    </w:p>
    <w:p w14:paraId="2D5E5D76" w14:textId="7990E14F" w:rsidR="00A45BD7" w:rsidRDefault="00000000" w:rsidP="00F24B1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市场环境依赖性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：对因子在不同市场状态下的表现分析（如下图5）揭示了其重要弱点。</w:t>
      </w:r>
      <w:r>
        <w:rPr>
          <w:rFonts w:eastAsia="Arial"/>
          <w:color w:val="000000"/>
        </w:rPr>
        <w:br/>
      </w:r>
      <w:r w:rsidR="00F24B15">
        <w:rPr>
          <w:rFonts w:eastAsia="Arial"/>
          <w:noProof/>
          <w:color w:val="000000"/>
        </w:rPr>
        <w:drawing>
          <wp:inline distT="0" distB="0" distL="0" distR="0" wp14:anchorId="609A77CC" wp14:editId="356D97B5">
            <wp:extent cx="5943600" cy="33585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Arial"/>
          <w:color w:val="000000"/>
        </w:rPr>
        <w:br/>
      </w:r>
      <w:r w:rsidRPr="00F24B15">
        <w:rPr>
          <w:rFonts w:ascii="宋体" w:hAnsi="宋体" w:cs="宋体" w:hint="eastAsia"/>
        </w:rPr>
        <w:t>图</w:t>
      </w:r>
      <w:r w:rsidRPr="00F24B15">
        <w:rPr>
          <w:rFonts w:ascii="Google Sans Text" w:eastAsia="Google Sans Text" w:hAnsi="Google Sans Text" w:cs="Google Sans Text"/>
        </w:rPr>
        <w:t>5</w:t>
      </w:r>
      <w:r w:rsidRPr="00F24B15">
        <w:rPr>
          <w:rFonts w:ascii="宋体" w:hAnsi="宋体" w:cs="宋体" w:hint="eastAsia"/>
        </w:rPr>
        <w:t>：因子在牛、熊、震荡市的表现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研究发现，EWMAVOL因子仅在“牛市”中表现尚可（Rank IC 8.67%），但在“熊市”中基本无效，而在“震荡市”中则表现为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显著的负向指标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（Rank IC -8.50%），这在很大程度上解释了其在近年市场环境下的整体负面表现。</w:t>
      </w:r>
    </w:p>
    <w:p w14:paraId="18344AF7" w14:textId="77777777" w:rsidR="00A45BD7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深入分析：从代码与数据层面探寻差异根源</w:t>
      </w:r>
    </w:p>
    <w:p w14:paraId="292CAA11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实证结果与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报结论的显著背离，促使我们必须从更深层次探究其潜在原因。</w:t>
      </w:r>
    </w:p>
    <w:p w14:paraId="31851AD4" w14:textId="73FB094A" w:rsidR="00A45BD7" w:rsidRPr="00F24B15" w:rsidRDefault="00000000">
      <w:pPr>
        <w:pStyle w:val="3"/>
        <w:spacing w:before="0" w:after="120" w:line="275" w:lineRule="auto"/>
        <w:rPr>
          <w:rFonts w:ascii="Google Sans" w:eastAsiaTheme="minorEastAsia" w:hAnsi="Google Sans" w:cs="Google Sans" w:hint="eastAsia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3.1 </w:t>
      </w:r>
      <w:r>
        <w:rPr>
          <w:rFonts w:ascii="宋体" w:hAnsi="宋体" w:cs="宋体" w:hint="eastAsia"/>
          <w:color w:val="1B1C1D"/>
          <w:sz w:val="24"/>
          <w:szCs w:val="24"/>
        </w:rPr>
        <w:t>代码层面复盘</w:t>
      </w:r>
    </w:p>
    <w:p w14:paraId="5A6309E3" w14:textId="48702808" w:rsidR="00A45BD7" w:rsidRPr="00643299" w:rsidRDefault="00000000" w:rsidP="0064329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宋体" w:hAnsi="宋体" w:cs="宋体" w:hint="eastAsia"/>
          <w:b/>
          <w:color w:val="1B1C1D"/>
          <w:sz w:val="24"/>
          <w:szCs w:val="24"/>
        </w:rPr>
        <w:t>因子计算逻辑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(Factor/EWMAVOL.py)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EWMA</w:t>
      </w:r>
      <w:r>
        <w:rPr>
          <w:rFonts w:ascii="宋体" w:hAnsi="宋体" w:cs="宋体" w:hint="eastAsia"/>
          <w:color w:val="1B1C1D"/>
          <w:sz w:val="24"/>
          <w:szCs w:val="24"/>
        </w:rPr>
        <w:t>波动率的核心是其递归计算公式，即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</w:t>
      </w:r>
      <w:r>
        <w:rPr>
          <w:rFonts w:ascii="宋体" w:hAnsi="宋体" w:cs="宋体" w:hint="eastAsia"/>
          <w:color w:val="1B1C1D"/>
          <w:sz w:val="24"/>
          <w:szCs w:val="24"/>
        </w:rPr>
        <w:t>时刻的方差是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t-1</w:t>
      </w:r>
      <w:r>
        <w:rPr>
          <w:rFonts w:ascii="宋体" w:hAnsi="宋体" w:cs="宋体" w:hint="eastAsia"/>
          <w:color w:val="1B1C1D"/>
          <w:sz w:val="24"/>
          <w:szCs w:val="24"/>
        </w:rPr>
        <w:t>时刻方差和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</w:t>
      </w:r>
      <w:r>
        <w:rPr>
          <w:rFonts w:ascii="宋体" w:hAnsi="宋体" w:cs="宋体" w:hint="eastAsia"/>
          <w:color w:val="1B1C1D"/>
          <w:sz w:val="24"/>
          <w:szCs w:val="24"/>
        </w:rPr>
        <w:t>时刻收益率平方的加权平均：</w:t>
      </w:r>
      <w:r>
        <w:rPr>
          <w:rFonts w:eastAsia="Arial"/>
          <w:color w:val="000000"/>
        </w:rPr>
        <w:br/>
      </w:r>
      <m:oMathPara>
        <m:oMath>
          <m:sSubSup>
            <m:sSubSupPr>
              <m:ctrlP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Google Sans Text" w:hAnsi="Cambria Math" w:cs="Google Sans Text"/>
              <w:color w:val="1B1C1D"/>
              <w:sz w:val="24"/>
              <w:szCs w:val="24"/>
            </w:rPr>
            <m:t>=λ</m:t>
          </m:r>
          <m:sSubSup>
            <m:sSubSupPr>
              <m:ctrlP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t-1</m:t>
              </m:r>
            </m:sub>
            <m:sup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Google Sans Text" w:hAnsi="Cambria Math" w:cs="Google Sans Text"/>
              <w:color w:val="1B1C1D"/>
              <w:sz w:val="24"/>
              <w:szCs w:val="24"/>
            </w:rPr>
            <m:t>+(1-λ)</m:t>
          </m:r>
          <m:sSubSup>
            <m:sSubSupPr>
              <m:ctrlP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t</m:t>
              </m:r>
            </m:sub>
            <m:sup>
              <m:r>
                <w:rPr>
                  <w:rFonts w:ascii="Cambria Math" w:eastAsia="Google Sans Text" w:hAnsi="Cambria Math" w:cs="Google Sans Text"/>
                  <w:color w:val="1B1C1D"/>
                  <w:sz w:val="24"/>
                  <w:szCs w:val="24"/>
                </w:rPr>
                <m:t>2</m:t>
              </m:r>
            </m:sup>
          </m:sSubSup>
          <m:r>
            <w:rPr>
              <w:rFonts w:eastAsia="Arial"/>
              <w:color w:val="000000"/>
            </w:rPr>
            <w:br/>
          </m:r>
        </m:oMath>
      </m:oMathPara>
      <w:r w:rsidRPr="00643299">
        <w:rPr>
          <w:rFonts w:ascii="宋体" w:hAnsi="宋体" w:cs="宋体" w:hint="eastAsia"/>
          <w:color w:val="1B1C1D"/>
          <w:sz w:val="24"/>
          <w:szCs w:val="24"/>
        </w:rPr>
        <w:t>其中，</w:t>
      </w:r>
      <m:oMath>
        <m:sSubSup>
          <m:sSubSupPr>
            <m:ctrlP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</m:ctrlPr>
          </m:sSubSupPr>
          <m:e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t</m:t>
            </m:r>
          </m:sub>
          <m:sup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2</m:t>
            </m:r>
          </m:sup>
        </m:sSubSup>
      </m:oMath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​ 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为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t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时刻的方差，</w:t>
      </w:r>
      <m:oMath>
        <m:sSub>
          <m:sSubPr>
            <m:ctrlP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</m:ctrlPr>
          </m:sSubPr>
          <m:e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t</m:t>
            </m:r>
          </m:sub>
        </m:sSub>
      </m:oMath>
      <w:r w:rsidR="00643299">
        <w:rPr>
          <w:rFonts w:ascii="Google Sans Text" w:eastAsiaTheme="minorEastAsia" w:hAnsi="Google Sans Text" w:cs="Google Sans Text" w:hint="eastAsia"/>
          <w:color w:val="1B1C1D"/>
          <w:sz w:val="24"/>
          <w:szCs w:val="24"/>
        </w:rPr>
        <w:t xml:space="preserve"> 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​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为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t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时刻的收益率，</w:t>
      </w:r>
      <m:oMath>
        <m:r>
          <w:rPr>
            <w:rFonts w:ascii="Cambria Math" w:eastAsia="Google Sans Text" w:hAnsi="Cambria Math" w:cs="Google Sans Text"/>
            <w:color w:val="1B1C1D"/>
            <w:sz w:val="24"/>
            <w:szCs w:val="24"/>
          </w:rPr>
          <m:t>λ</m:t>
        </m:r>
        <m:r>
          <w:rPr>
            <w:rFonts w:ascii="Cambria Math" w:eastAsia="Google Sans Text" w:hAnsi="Cambria Math" w:cs="Google Sans Text"/>
            <w:color w:val="1B1C1D"/>
            <w:sz w:val="24"/>
            <w:szCs w:val="24"/>
          </w:rPr>
          <m:t xml:space="preserve"> </m:t>
        </m:r>
      </m:oMath>
      <w:r w:rsidRPr="00643299">
        <w:rPr>
          <w:rFonts w:ascii="宋体" w:hAnsi="宋体" w:cs="宋体" w:hint="eastAsia"/>
          <w:color w:val="1B1C1D"/>
          <w:sz w:val="24"/>
          <w:szCs w:val="24"/>
        </w:rPr>
        <w:t>为衰减因子（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0&lt;</w:t>
      </w:r>
      <w:r w:rsidR="00643299" w:rsidRPr="00643299">
        <w:rPr>
          <w:rFonts w:ascii="Cambria Math" w:eastAsia="Google Sans Text" w:hAnsi="Cambria Math" w:cs="Google Sans Text"/>
          <w:i/>
          <w:color w:val="1B1C1D"/>
          <w:sz w:val="24"/>
          <w:szCs w:val="24"/>
        </w:rPr>
        <w:t xml:space="preserve"> </w:t>
      </w:r>
      <m:oMath>
        <m:r>
          <w:rPr>
            <w:rFonts w:ascii="Cambria Math" w:eastAsia="Google Sans Text" w:hAnsi="Cambria Math" w:cs="Google Sans Text"/>
            <w:color w:val="1B1C1D"/>
            <w:sz w:val="24"/>
            <w:szCs w:val="24"/>
          </w:rPr>
          <m:t>λ</m:t>
        </m:r>
      </m:oMath>
      <w:r w:rsidR="00643299"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&lt;1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）。在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pandas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库中，</w:t>
      </w:r>
      <w:proofErr w:type="gramStart"/>
      <w:r w:rsidRPr="00643299">
        <w:rPr>
          <w:rFonts w:ascii="宋体" w:hAnsi="宋体" w:cs="宋体" w:hint="eastAsia"/>
          <w:color w:val="1B1C1D"/>
          <w:sz w:val="24"/>
          <w:szCs w:val="24"/>
        </w:rPr>
        <w:t>这一思想通过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  <w:proofErr w:type="spellStart"/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ewm</w:t>
      </w:r>
      <w:proofErr w:type="spellEnd"/>
      <w:proofErr w:type="gramEnd"/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方法实现，其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>span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（跨度）参数与平滑因子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m:oMath>
        <m:r>
          <w:rPr>
            <w:rFonts w:ascii="Cambria Math" w:eastAsia="Google Sans Text" w:hAnsi="Cambria Math" w:cs="Google Sans Text"/>
            <w:color w:val="1B1C1D"/>
            <w:sz w:val="24"/>
            <w:szCs w:val="24"/>
          </w:rPr>
          <m:t>α=1-λ</m:t>
        </m:r>
      </m:oMath>
      <w:r w:rsidR="00643299">
        <w:rPr>
          <w:rFonts w:ascii="Google Sans Text" w:eastAsiaTheme="minorEastAsia" w:hAnsi="Google Sans Text" w:cs="Google Sans Text" w:hint="eastAsia"/>
          <w:color w:val="1B1C1D"/>
          <w:sz w:val="24"/>
          <w:szCs w:val="24"/>
        </w:rPr>
        <w:t xml:space="preserve"> 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的关系为</w:t>
      </w:r>
      <w:r w:rsidRPr="00643299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m:oMath>
        <m:r>
          <w:rPr>
            <w:rFonts w:ascii="Cambria Math" w:eastAsia="Google Sans Text" w:hAnsi="Cambria Math" w:cs="Google Sans Text"/>
            <w:color w:val="1B1C1D"/>
            <w:sz w:val="24"/>
            <w:szCs w:val="24"/>
          </w:rPr>
          <m:t>α=</m:t>
        </m:r>
        <m:f>
          <m:fPr>
            <m:ctrlP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</m:ctrlPr>
          </m:fPr>
          <m:num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2</m:t>
            </m:r>
          </m:num>
          <m:den>
            <m:r>
              <w:rPr>
                <w:rFonts w:ascii="Cambria Math" w:eastAsia="Google Sans Text" w:hAnsi="Cambria Math" w:cs="Google Sans Text"/>
                <w:color w:val="1B1C1D"/>
                <w:sz w:val="24"/>
                <w:szCs w:val="24"/>
              </w:rPr>
              <m:t>span+1</m:t>
            </m:r>
          </m:den>
        </m:f>
      </m:oMath>
      <w:r w:rsidR="00643299">
        <w:rPr>
          <w:rFonts w:ascii="Google Sans Text" w:eastAsiaTheme="minorEastAsia" w:hAnsi="Google Sans Text" w:cs="Google Sans Text" w:hint="eastAsia"/>
          <w:color w:val="1B1C1D"/>
          <w:sz w:val="24"/>
          <w:szCs w:val="24"/>
        </w:rPr>
        <w:t xml:space="preserve"> </w:t>
      </w:r>
      <w:r w:rsidRPr="00643299">
        <w:rPr>
          <w:rFonts w:ascii="宋体" w:hAnsi="宋体" w:cs="宋体" w:hint="eastAsia"/>
          <w:color w:val="1B1C1D"/>
          <w:sz w:val="24"/>
          <w:szCs w:val="24"/>
        </w:rPr>
        <w:t>。本研究中的代码实现如下，展示了该核心计算的上下文：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45BD7" w14:paraId="3BDEFFFE" w14:textId="77777777">
        <w:tc>
          <w:tcPr>
            <w:tcW w:w="9360" w:type="dxa"/>
            <w:shd w:val="clear" w:color="auto" w:fill="F8F8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1F42" w14:textId="77777777" w:rsidR="00A45B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  <w:sz w:val="24"/>
                <w:szCs w:val="24"/>
              </w:rPr>
            </w:pP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# 文件路径: Factor/EWMAVOL.py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 xml:space="preserve"># ... (在 </w:t>
            </w:r>
            <w:proofErr w:type="spellStart"/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get_EWMAVOL</w:t>
            </w:r>
            <w:proofErr w:type="spellEnd"/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 xml:space="preserve"> 方法内部)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lastRenderedPageBreak/>
              <w:br/>
            </w: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# 计算日度收益率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  <w:t xml:space="preserve">ret = 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ohlcv_data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[</w:t>
            </w:r>
            <w:r>
              <w:rPr>
                <w:rFonts w:ascii="Consolas" w:eastAsia="Consolas" w:hAnsi="Consolas" w:cs="Consolas"/>
                <w:color w:val="DD1144"/>
                <w:sz w:val="24"/>
                <w:szCs w:val="24"/>
                <w:shd w:val="clear" w:color="auto" w:fill="F8F8F8"/>
              </w:rPr>
              <w:t>'close'</w:t>
            </w:r>
            <w:proofErr w:type="gram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].unstack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pct_change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()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# 计算EWMA标准差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# 此行代码实现了EWMA方差的递归计算并取平方根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ewm_vol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ret.ewm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(span=span, adjust=</w:t>
            </w:r>
            <w:r>
              <w:rPr>
                <w:rFonts w:ascii="Consolas" w:eastAsia="Consolas" w:hAnsi="Consolas" w:cs="Consolas"/>
                <w:b/>
                <w:color w:val="333333"/>
                <w:sz w:val="24"/>
                <w:szCs w:val="24"/>
                <w:shd w:val="clear" w:color="auto" w:fill="F8F8F8"/>
              </w:rPr>
              <w:t>False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).std()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r>
              <w:rPr>
                <w:rFonts w:ascii="Consolas" w:eastAsia="Consolas" w:hAnsi="Consolas" w:cs="Consolas"/>
                <w:i/>
                <w:color w:val="999988"/>
                <w:sz w:val="24"/>
                <w:szCs w:val="24"/>
                <w:shd w:val="clear" w:color="auto" w:fill="F8F8F8"/>
              </w:rPr>
              <w:t># shift(1) 防止引入未来数据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factor_data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ewm_vol.shift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(</w:t>
            </w:r>
            <w:r>
              <w:rPr>
                <w:rFonts w:ascii="Consolas" w:eastAsia="Consolas" w:hAnsi="Consolas" w:cs="Consolas"/>
                <w:color w:val="008080"/>
                <w:sz w:val="24"/>
                <w:szCs w:val="24"/>
                <w:shd w:val="clear" w:color="auto" w:fill="F8F8F8"/>
              </w:rPr>
              <w:t>1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).stack().</w:t>
            </w:r>
            <w:proofErr w:type="spellStart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reset_index</w:t>
            </w:r>
            <w:proofErr w:type="spellEnd"/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t>()</w:t>
            </w:r>
            <w:r>
              <w:rPr>
                <w:rFonts w:ascii="Consolas" w:eastAsia="Consolas" w:hAnsi="Consolas" w:cs="Consolas"/>
                <w:color w:val="333333"/>
                <w:sz w:val="24"/>
                <w:szCs w:val="24"/>
                <w:shd w:val="clear" w:color="auto" w:fill="F8F8F8"/>
              </w:rPr>
              <w:br/>
            </w:r>
          </w:p>
        </w:tc>
      </w:tr>
    </w:tbl>
    <w:p w14:paraId="750F8504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eastAsia="Arial"/>
          <w:color w:val="000000"/>
        </w:rPr>
        <w:lastRenderedPageBreak/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从代码逻辑上看，其实现遵循了pandas库的标准用法，准确反映了EWMA模型的数学思想，并正确处理了前视偏差问题。虽然不能完全排除特定库版本或底层实现差异可能带来的细微影响，但核心算法的实现是清晰且符合行业标准的。</w:t>
      </w:r>
    </w:p>
    <w:p w14:paraId="6F6EF12C" w14:textId="77777777" w:rsidR="00A45BD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回测框架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(Module/Backtesting.py)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本研究采用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的回测框架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遵循了业界通用的方法论，包括月度调仓、等权构建投资组合等，流程严谨。</w:t>
      </w:r>
    </w:p>
    <w:p w14:paraId="0E27159B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因此，一个合理的推断是，结果的巨大差异更可能源于代码之外的因素。</w:t>
      </w:r>
    </w:p>
    <w:p w14:paraId="0C748F16" w14:textId="0C04C528" w:rsidR="00A45BD7" w:rsidRPr="00643299" w:rsidRDefault="00000000">
      <w:pPr>
        <w:pStyle w:val="3"/>
        <w:spacing w:before="0" w:after="120" w:line="275" w:lineRule="auto"/>
        <w:rPr>
          <w:rFonts w:ascii="Google Sans" w:eastAsiaTheme="minorEastAsia" w:hAnsi="Google Sans" w:cs="Google Sans" w:hint="eastAsia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 回测与数据层面剖析</w:t>
      </w:r>
    </w:p>
    <w:p w14:paraId="6EA2062C" w14:textId="77777777" w:rsidR="00A45BD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回测周期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的市场环境错配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：本研究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的回测区间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主要集中于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2021年之后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，这一时期A股市场以熊市和高波动震荡为主。如图5所示，这恰恰是EWMAVOL因子表现最差的市场环境。相比之下，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的回测周期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可能更长，覆盖了如2014-2015年的大牛市，从而在长周期统计上“平滑”或“美化”了整体结果，这构成了典型的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周期选择偏差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58D3B540" w14:textId="54415DEE" w:rsidR="00A45BD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数据源与股票池的系统性差异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：本研究采用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Tushare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作为数据源，而券商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研报使用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Wind金融终端。两者在数据清洗、复权算法、以及对ST、新股、长期停牌股的过滤规则上存在系统性差异，这些差异是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造成回测结果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分歧的重要技术原因。</w:t>
      </w:r>
    </w:p>
    <w:p w14:paraId="4CDD4E69" w14:textId="6ABD61FA" w:rsidR="00A45BD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潜在的“黑盒”：缺失的因子预处理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：在严谨的量化研究中，原始因子通常需要经过一系列预处理才能使用。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报为简化篇幅可能省略了这些步骤。其中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最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关键的可能是：</w:t>
      </w:r>
    </w:p>
    <w:p w14:paraId="6115FD24" w14:textId="77E54127" w:rsidR="00A45BD7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中性化处理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：低波动率因子在A股市场与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大市值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、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低贝塔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以及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某些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防御性行业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（如公用事业）存在天然的高相关性。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研报报告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的Alpha，可能并非来自“低波动”这一纯净因子，而更多是其背后所附带的风格暴露在特定时期取得的收益。本研究未对因子进行中性化处理，这可能是造成结果差异的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最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核心原因之一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239D369B" w14:textId="37C806D1" w:rsidR="00A45BD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因子表现的内在不稳定性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：下图展示了因子在沪深300内的分年表现，该图本身也揭示了因子不稳定的特性。</w:t>
      </w:r>
      <w:r>
        <w:rPr>
          <w:rFonts w:eastAsia="Arial"/>
          <w:color w:val="000000"/>
        </w:rPr>
        <w:br/>
      </w:r>
      <w:r w:rsidR="00643299">
        <w:rPr>
          <w:rFonts w:eastAsia="Arial"/>
          <w:noProof/>
          <w:color w:val="000000"/>
        </w:rPr>
        <w:drawing>
          <wp:inline distT="0" distB="0" distL="0" distR="0" wp14:anchorId="78A5DE11" wp14:editId="78F05E72">
            <wp:extent cx="5932805" cy="3657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图6：EWMAVOL因子在沪深300内的分年表现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由图6可见，该因子年度表现的波动性极大，在少数年份获得惊人收益，但在另一些年份则遭遇大幅回撤。这种高波动性本身即是因子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鲁棒性不足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的体现。</w:t>
      </w:r>
    </w:p>
    <w:p w14:paraId="61449AB1" w14:textId="77777777" w:rsidR="00A45BD7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结论与启示</w:t>
      </w:r>
    </w:p>
    <w:p w14:paraId="1FEF75F5" w14:textId="0FBA4B88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本研究未能复现太平洋证券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研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报中关于EWMAVOL因子有效性的核心结论。在一个严谨、标准的复现框架下，实证结果表明该因子在近年市场环境下表现不佳，且因子本身存在内在的不稳定性。</w:t>
      </w:r>
    </w:p>
    <w:p w14:paraId="408D02EF" w14:textId="77777777" w:rsidR="00A45BD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本次研究揭示了量化投资研究中的几点重要启示：</w:t>
      </w:r>
    </w:p>
    <w:p w14:paraId="7CB656E0" w14:textId="77777777" w:rsidR="00A45BD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复现是检验学术与实践成果的基石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：对于任何公开的研究结论，尤其是表现优异的策略，必须通过审慎、独立的复现来进行验证。</w:t>
      </w:r>
    </w:p>
    <w:p w14:paraId="7A2FB739" w14:textId="77777777" w:rsidR="00A45BD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细节是决定成败的关键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回测周期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的选择、数据源的差异，以及中性化等关键但可能被省略的预处理步骤，都可能对最终结果产生决定性影响。</w:t>
      </w:r>
    </w:p>
    <w:p w14:paraId="1394FC9F" w14:textId="77777777" w:rsidR="00A45BD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对“完美”结果保持审慎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：在真实的金融市场中，过于完美的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历史回测曲线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往往是过度拟合或特定周期选择的结果，其外推有效性存疑。一项“失败”的复现，其价值在于帮助我们规避潜在的投资陷阱，并推动我们去探索构建更具鲁棒性的量化策略。</w:t>
      </w:r>
    </w:p>
    <w:sectPr w:rsidR="00A45BD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BA55CED-E223-4154-9431-2E6866DE06AB}"/>
    <w:embedItalic r:id="rId2" w:fontKey="{65ED1C73-BAF6-4081-BCDF-B3B3EEB6C5A3}"/>
  </w:font>
  <w:font w:name="Google Sans">
    <w:charset w:val="00"/>
    <w:family w:val="auto"/>
    <w:pitch w:val="default"/>
    <w:embedRegular r:id="rId3" w:fontKey="{657BE796-CAE6-4294-9E65-26F397023AB2}"/>
    <w:embedBold r:id="rId4" w:fontKey="{E813E17C-D733-450C-8FAF-69AB4BA3B1DB}"/>
  </w:font>
  <w:font w:name="Google Sans Text">
    <w:altName w:val="Calibri"/>
    <w:charset w:val="00"/>
    <w:family w:val="auto"/>
    <w:pitch w:val="default"/>
    <w:embedRegular r:id="rId5" w:fontKey="{7B43FD63-A42D-4A67-8DE5-76A16D821F1D}"/>
    <w:embedBold r:id="rId6" w:fontKey="{ADB361D8-2E1B-483C-93D2-CAF55266AEF0}"/>
    <w:embedItalic r:id="rId7" w:fontKey="{5E51C49A-2F45-4555-AFC2-45AB01E2DF2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E4D7437-89B5-4AC0-9E4C-C10F2C62B8BF}"/>
    <w:embedItalic r:id="rId9" w:fontKey="{E7070FD9-CFF0-45E6-9CDC-273416EF533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D9C126B-533E-4D20-9E33-52B0BB8D0A80}"/>
    <w:embedBold r:id="rId11" w:fontKey="{28BA83D6-FF69-4D96-98BF-2BCDF1825842}"/>
    <w:embedItalic r:id="rId12" w:fontKey="{0ABE466A-339F-4683-9CA0-C3B3072AAB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C13FF302-3512-4210-B697-F8CC2B359A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1412333-EC72-4063-BD4B-A6889EA2B8F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44CD1"/>
    <w:multiLevelType w:val="multilevel"/>
    <w:tmpl w:val="587275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2826AAD"/>
    <w:multiLevelType w:val="multilevel"/>
    <w:tmpl w:val="903016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2D35431"/>
    <w:multiLevelType w:val="multilevel"/>
    <w:tmpl w:val="56569C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3A47F00"/>
    <w:multiLevelType w:val="multilevel"/>
    <w:tmpl w:val="E9723E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769246D"/>
    <w:multiLevelType w:val="multilevel"/>
    <w:tmpl w:val="608E93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A390359"/>
    <w:multiLevelType w:val="multilevel"/>
    <w:tmpl w:val="4F84D3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0BB3DA6"/>
    <w:multiLevelType w:val="multilevel"/>
    <w:tmpl w:val="B5ACFD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1344663">
    <w:abstractNumId w:val="1"/>
  </w:num>
  <w:num w:numId="2" w16cid:durableId="1369333443">
    <w:abstractNumId w:val="5"/>
  </w:num>
  <w:num w:numId="3" w16cid:durableId="1749838018">
    <w:abstractNumId w:val="4"/>
  </w:num>
  <w:num w:numId="4" w16cid:durableId="242956191">
    <w:abstractNumId w:val="3"/>
  </w:num>
  <w:num w:numId="5" w16cid:durableId="786461548">
    <w:abstractNumId w:val="6"/>
  </w:num>
  <w:num w:numId="6" w16cid:durableId="1520512359">
    <w:abstractNumId w:val="0"/>
  </w:num>
  <w:num w:numId="7" w16cid:durableId="13993270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BD7"/>
    <w:rsid w:val="00643299"/>
    <w:rsid w:val="00772738"/>
    <w:rsid w:val="007A5F49"/>
    <w:rsid w:val="00A1666E"/>
    <w:rsid w:val="00A45BD7"/>
    <w:rsid w:val="00F24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EF1E6"/>
  <w15:docId w15:val="{4262F83B-B329-40A2-972C-1E66CD9B1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宋体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2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514</Words>
  <Characters>2931</Characters>
  <Application>Microsoft Office Word</Application>
  <DocSecurity>0</DocSecurity>
  <Lines>24</Lines>
  <Paragraphs>6</Paragraphs>
  <ScaleCrop>false</ScaleCrop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Aaron Liang</cp:lastModifiedBy>
  <cp:revision>3</cp:revision>
  <dcterms:created xsi:type="dcterms:W3CDTF">2025-06-06T06:58:00Z</dcterms:created>
  <dcterms:modified xsi:type="dcterms:W3CDTF">2025-06-06T07:27:00Z</dcterms:modified>
</cp:coreProperties>
</file>